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8FD7" w14:textId="77777777" w:rsidR="009A10B9" w:rsidRDefault="009A10B9"/>
    <w:p w14:paraId="4126547F" w14:textId="77777777" w:rsidR="00D87555" w:rsidRDefault="00D87555"/>
    <w:p w14:paraId="4DB3D73D" w14:textId="77777777" w:rsidR="00D87555" w:rsidRDefault="00D87555"/>
    <w:p w14:paraId="64EC7AD8" w14:textId="39C626CF" w:rsidR="00D87555" w:rsidRPr="00D87555" w:rsidRDefault="00D87555">
      <w:pPr>
        <w:rPr>
          <w:rFonts w:ascii="Avenir Book" w:hAnsi="Avenir Book"/>
          <w:b/>
          <w:bCs/>
          <w:sz w:val="28"/>
          <w:szCs w:val="28"/>
        </w:rPr>
      </w:pPr>
      <w:r w:rsidRPr="00D87555">
        <w:rPr>
          <w:rFonts w:ascii="Avenir Book" w:hAnsi="Avenir Book"/>
          <w:b/>
          <w:bCs/>
          <w:sz w:val="28"/>
          <w:szCs w:val="28"/>
        </w:rPr>
        <w:t xml:space="preserve">Sample FoRB School Policy </w:t>
      </w:r>
    </w:p>
    <w:p w14:paraId="634ABBFC" w14:textId="77777777" w:rsidR="00D87555" w:rsidRDefault="00D87555">
      <w:pPr>
        <w:rPr>
          <w:b/>
          <w:bCs/>
        </w:rPr>
      </w:pPr>
    </w:p>
    <w:p w14:paraId="2B316DF8" w14:textId="3D3A7C61" w:rsidR="00D87555" w:rsidRDefault="00D87555">
      <w:pPr>
        <w:rPr>
          <w:rFonts w:ascii="Avenir Book" w:hAnsi="Avenir Book"/>
          <w:b/>
          <w:bCs/>
        </w:rPr>
      </w:pPr>
      <w:r w:rsidRPr="00D87555">
        <w:rPr>
          <w:rFonts w:ascii="Avenir Book" w:hAnsi="Avenir Book"/>
          <w:b/>
          <w:bCs/>
        </w:rPr>
        <w:t xml:space="preserve">Policy overview, context and review information </w:t>
      </w:r>
    </w:p>
    <w:p w14:paraId="28A81324" w14:textId="77777777" w:rsidR="00D87555" w:rsidRPr="00D87555" w:rsidRDefault="00D87555" w:rsidP="00D87555">
      <w:pPr>
        <w:pStyle w:val="cvgsua"/>
        <w:spacing w:line="270" w:lineRule="atLeast"/>
        <w:rPr>
          <w:rFonts w:ascii="Avenir Book" w:hAnsi="Avenir Book"/>
          <w:sz w:val="22"/>
          <w:szCs w:val="22"/>
        </w:rPr>
      </w:pPr>
      <w:r w:rsidRPr="00D87555">
        <w:rPr>
          <w:rStyle w:val="agcmg"/>
          <w:rFonts w:ascii="Avenir Book" w:eastAsiaTheme="majorEastAsia" w:hAnsi="Avenir Book"/>
          <w:sz w:val="22"/>
          <w:szCs w:val="22"/>
        </w:rPr>
        <w:t>Reviewed: February 2026</w:t>
      </w:r>
    </w:p>
    <w:p w14:paraId="52F321B8" w14:textId="77777777" w:rsidR="00D87555" w:rsidRPr="00D87555" w:rsidRDefault="00D87555" w:rsidP="00D87555">
      <w:pPr>
        <w:pStyle w:val="cvgsua"/>
        <w:spacing w:line="270" w:lineRule="atLeast"/>
        <w:rPr>
          <w:rFonts w:ascii="Avenir Book" w:hAnsi="Avenir Book"/>
          <w:sz w:val="22"/>
          <w:szCs w:val="22"/>
        </w:rPr>
      </w:pPr>
      <w:r w:rsidRPr="00D87555">
        <w:rPr>
          <w:rStyle w:val="agcmg"/>
          <w:rFonts w:ascii="Avenir Book" w:eastAsiaTheme="majorEastAsia" w:hAnsi="Avenir Book"/>
          <w:sz w:val="22"/>
          <w:szCs w:val="22"/>
        </w:rPr>
        <w:t>Shared with staff: March 2026</w:t>
      </w:r>
    </w:p>
    <w:p w14:paraId="54618149" w14:textId="77777777" w:rsidR="00D87555" w:rsidRPr="00D87555" w:rsidRDefault="00D87555" w:rsidP="00D87555">
      <w:pPr>
        <w:pStyle w:val="cvgsua"/>
        <w:spacing w:line="270" w:lineRule="atLeast"/>
        <w:rPr>
          <w:rFonts w:ascii="Avenir Book" w:hAnsi="Avenir Book"/>
          <w:sz w:val="22"/>
          <w:szCs w:val="22"/>
        </w:rPr>
      </w:pPr>
      <w:r w:rsidRPr="00D87555">
        <w:rPr>
          <w:rStyle w:val="agcmg"/>
          <w:rFonts w:ascii="Avenir Book" w:eastAsiaTheme="majorEastAsia" w:hAnsi="Avenir Book"/>
          <w:sz w:val="22"/>
          <w:szCs w:val="22"/>
        </w:rPr>
        <w:t>Revision Date: March 2028</w:t>
      </w:r>
    </w:p>
    <w:p w14:paraId="3BA9A782" w14:textId="77777777" w:rsidR="00D87555" w:rsidRDefault="00D87555" w:rsidP="00D87555">
      <w:pPr>
        <w:pStyle w:val="cvgsua"/>
        <w:spacing w:line="270" w:lineRule="atLeast"/>
        <w:rPr>
          <w:rStyle w:val="agcmg"/>
          <w:rFonts w:ascii="Avenir Book" w:eastAsiaTheme="majorEastAsia" w:hAnsi="Avenir Book"/>
          <w:sz w:val="22"/>
          <w:szCs w:val="22"/>
        </w:rPr>
      </w:pPr>
      <w:r w:rsidRPr="00D87555">
        <w:rPr>
          <w:rStyle w:val="agcmg"/>
          <w:rFonts w:ascii="Avenir Book" w:eastAsiaTheme="majorEastAsia" w:hAnsi="Avenir Book"/>
          <w:sz w:val="22"/>
          <w:szCs w:val="22"/>
        </w:rPr>
        <w:t>To be read in conjunction with the following policies: Anti-Bullying, Anti-Racism, Curriculum, Safeguarding, SMSC, PSCHE, Behaviour Management Policies, and Statutory Guidance for British Values</w:t>
      </w:r>
    </w:p>
    <w:p w14:paraId="72EF12E6" w14:textId="05A1F119" w:rsidR="00D87555" w:rsidRPr="00D87555" w:rsidRDefault="00D87555" w:rsidP="00D87555">
      <w:pPr>
        <w:pStyle w:val="cvgsua"/>
        <w:spacing w:line="270" w:lineRule="atLeast"/>
        <w:rPr>
          <w:rFonts w:ascii="Avenir Book" w:hAnsi="Avenir Book"/>
          <w:b/>
          <w:bCs/>
        </w:rPr>
      </w:pPr>
      <w:r w:rsidRPr="00D87555">
        <w:rPr>
          <w:rStyle w:val="agcmg"/>
          <w:rFonts w:ascii="Avenir Book" w:eastAsiaTheme="majorEastAsia" w:hAnsi="Avenir Book"/>
          <w:b/>
          <w:bCs/>
        </w:rPr>
        <w:t xml:space="preserve">Introductions and rationale </w:t>
      </w:r>
    </w:p>
    <w:p w14:paraId="2A3F8952" w14:textId="6FCC8A81" w:rsidR="00D87555" w:rsidRDefault="00D87555">
      <w:pPr>
        <w:rPr>
          <w:rStyle w:val="agcmg"/>
          <w:rFonts w:ascii="Avenir Book" w:hAnsi="Avenir Book"/>
          <w:sz w:val="22"/>
          <w:szCs w:val="22"/>
        </w:rPr>
      </w:pPr>
      <w:r w:rsidRPr="00D87555">
        <w:rPr>
          <w:rStyle w:val="agcmg"/>
          <w:rFonts w:ascii="Avenir Book" w:hAnsi="Avenir Book"/>
          <w:sz w:val="22"/>
          <w:szCs w:val="22"/>
        </w:rPr>
        <w:t>Being an inclusive school which promotes and protects FoRB aligns with the Education Act 2002 and the Academies Act 2010 which both demand that all schools must provide a balanced and broadly-based curriculum which promotes the spiritual, moral, cultural, mental and physical development of students and prepares them for later life.</w:t>
      </w:r>
    </w:p>
    <w:p w14:paraId="2CF40A21" w14:textId="77777777" w:rsidR="00D87555" w:rsidRDefault="00D87555">
      <w:pPr>
        <w:rPr>
          <w:rStyle w:val="agcmg"/>
          <w:rFonts w:ascii="Avenir Book" w:hAnsi="Avenir Book"/>
          <w:sz w:val="22"/>
          <w:szCs w:val="22"/>
        </w:rPr>
      </w:pPr>
    </w:p>
    <w:p w14:paraId="24A32D75" w14:textId="58294A4B" w:rsidR="00D87555" w:rsidRDefault="00D87555">
      <w:pPr>
        <w:rPr>
          <w:rStyle w:val="agcmg"/>
          <w:rFonts w:ascii="Avenir Book" w:hAnsi="Avenir Book"/>
          <w:b/>
          <w:bCs/>
        </w:rPr>
      </w:pPr>
      <w:r>
        <w:rPr>
          <w:rStyle w:val="agcmg"/>
          <w:rFonts w:ascii="Avenir Book" w:hAnsi="Avenir Book"/>
          <w:b/>
          <w:bCs/>
        </w:rPr>
        <w:t xml:space="preserve">Aims and objectives of a school promoting and protecting FoRB </w:t>
      </w:r>
    </w:p>
    <w:p w14:paraId="6C175EC4"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As a school which promotes and protects FoRB, Example School seeks to create opportunities for all members of the school community to: </w:t>
      </w:r>
    </w:p>
    <w:p w14:paraId="579B852E" w14:textId="77777777" w:rsidR="00D87555" w:rsidRPr="00D87555" w:rsidRDefault="00D87555" w:rsidP="00D87555">
      <w:pPr>
        <w:numPr>
          <w:ilvl w:val="0"/>
          <w:numId w:val="1"/>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talk about their own religion or belief, experience ways in which other people explore and express meaning, and to learn about where and how their religion or belief may be different from </w:t>
      </w:r>
      <w:proofErr w:type="gramStart"/>
      <w:r w:rsidRPr="00D87555">
        <w:rPr>
          <w:rFonts w:ascii="Avenir Book" w:eastAsia="Times New Roman" w:hAnsi="Avenir Book" w:cs="Times New Roman"/>
          <w:kern w:val="0"/>
          <w:sz w:val="22"/>
          <w:szCs w:val="22"/>
          <w:lang w:eastAsia="en-GB"/>
          <w14:ligatures w14:val="none"/>
        </w:rPr>
        <w:t>others;</w:t>
      </w:r>
      <w:proofErr w:type="gramEnd"/>
    </w:p>
    <w:p w14:paraId="045118D8" w14:textId="77777777" w:rsidR="00D87555" w:rsidRPr="00D87555" w:rsidRDefault="00D87555" w:rsidP="00D87555">
      <w:pPr>
        <w:numPr>
          <w:ilvl w:val="0"/>
          <w:numId w:val="1"/>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talk about freedom, what it means to be free, what it means for others to be free, what it might mean or feel like to have those freedoms restricted, and to learn about places and times when those freedoms have been </w:t>
      </w:r>
      <w:proofErr w:type="gramStart"/>
      <w:r w:rsidRPr="00D87555">
        <w:rPr>
          <w:rFonts w:ascii="Avenir Book" w:eastAsia="Times New Roman" w:hAnsi="Avenir Book" w:cs="Times New Roman"/>
          <w:kern w:val="0"/>
          <w:sz w:val="22"/>
          <w:szCs w:val="22"/>
          <w:lang w:eastAsia="en-GB"/>
          <w14:ligatures w14:val="none"/>
        </w:rPr>
        <w:t>restricted;</w:t>
      </w:r>
      <w:proofErr w:type="gramEnd"/>
    </w:p>
    <w:p w14:paraId="3632D5DC" w14:textId="77777777" w:rsidR="00D87555" w:rsidRPr="00D87555" w:rsidRDefault="00D87555" w:rsidP="00D87555">
      <w:pPr>
        <w:numPr>
          <w:ilvl w:val="0"/>
          <w:numId w:val="1"/>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learn and talk about Human Rights, that they are for everyone, everywhere, both religious and non-religious, and that FoRB is a human right.</w:t>
      </w:r>
    </w:p>
    <w:p w14:paraId="57432606" w14:textId="77777777" w:rsid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Critically, as a school where FoRB flourishes, we recognise the vital importance of ensuring that the school environment is safe for everyone. We understand that in the UK discrimination or hate-crime is the </w:t>
      </w:r>
      <w:proofErr w:type="gramStart"/>
      <w:r w:rsidRPr="00D87555">
        <w:rPr>
          <w:rFonts w:ascii="Avenir Book" w:eastAsia="Times New Roman" w:hAnsi="Avenir Book" w:cs="Times New Roman"/>
          <w:kern w:val="0"/>
          <w:sz w:val="22"/>
          <w:szCs w:val="22"/>
          <w:lang w:eastAsia="en-GB"/>
          <w14:ligatures w14:val="none"/>
        </w:rPr>
        <w:t>most commonly experienced</w:t>
      </w:r>
      <w:proofErr w:type="gramEnd"/>
      <w:r w:rsidRPr="00D87555">
        <w:rPr>
          <w:rFonts w:ascii="Avenir Book" w:eastAsia="Times New Roman" w:hAnsi="Avenir Book" w:cs="Times New Roman"/>
          <w:kern w:val="0"/>
          <w:sz w:val="22"/>
          <w:szCs w:val="22"/>
          <w:lang w:eastAsia="en-GB"/>
          <w14:ligatures w14:val="none"/>
        </w:rPr>
        <w:t xml:space="preserve"> violation of FoRB (e.g. antisemitism, anti-Muslim hate). We both actively promote FoRB </w:t>
      </w:r>
      <w:proofErr w:type="gramStart"/>
      <w:r w:rsidRPr="00D87555">
        <w:rPr>
          <w:rFonts w:ascii="Avenir Book" w:eastAsia="Times New Roman" w:hAnsi="Avenir Book" w:cs="Times New Roman"/>
          <w:kern w:val="0"/>
          <w:sz w:val="22"/>
          <w:szCs w:val="22"/>
          <w:lang w:eastAsia="en-GB"/>
          <w14:ligatures w14:val="none"/>
        </w:rPr>
        <w:t>and also</w:t>
      </w:r>
      <w:proofErr w:type="gramEnd"/>
      <w:r w:rsidRPr="00D87555">
        <w:rPr>
          <w:rFonts w:ascii="Avenir Book" w:eastAsia="Times New Roman" w:hAnsi="Avenir Book" w:cs="Times New Roman"/>
          <w:kern w:val="0"/>
          <w:sz w:val="22"/>
          <w:szCs w:val="22"/>
          <w:lang w:eastAsia="en-GB"/>
          <w14:ligatures w14:val="none"/>
        </w:rPr>
        <w:t xml:space="preserve"> take seriously and challenge violations of FoRB which occur. We ensure our approaches are both trauma informed and shame sensitive.</w:t>
      </w:r>
    </w:p>
    <w:p w14:paraId="4C55CB64" w14:textId="77777777" w:rsid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p>
    <w:p w14:paraId="5487FDC1" w14:textId="77777777" w:rsid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p>
    <w:p w14:paraId="340819DE" w14:textId="0A3552BC" w:rsidR="00D87555" w:rsidRDefault="00D87555" w:rsidP="00D87555">
      <w:pPr>
        <w:spacing w:before="100" w:beforeAutospacing="1" w:after="100" w:afterAutospacing="1" w:line="270" w:lineRule="atLeast"/>
        <w:rPr>
          <w:rFonts w:ascii="Avenir Book" w:eastAsia="Times New Roman" w:hAnsi="Avenir Book" w:cs="Times New Roman"/>
          <w:b/>
          <w:bCs/>
          <w:kern w:val="0"/>
          <w:lang w:eastAsia="en-GB"/>
          <w14:ligatures w14:val="none"/>
        </w:rPr>
      </w:pPr>
      <w:r>
        <w:rPr>
          <w:rFonts w:ascii="Avenir Book" w:eastAsia="Times New Roman" w:hAnsi="Avenir Book" w:cs="Times New Roman"/>
          <w:b/>
          <w:bCs/>
          <w:kern w:val="0"/>
          <w:lang w:eastAsia="en-GB"/>
          <w14:ligatures w14:val="none"/>
        </w:rPr>
        <w:t xml:space="preserve">What is the Freedom of Religion or Belief (FoRB) </w:t>
      </w:r>
    </w:p>
    <w:p w14:paraId="7D66738B" w14:textId="65E7657B" w:rsidR="00D87555" w:rsidRDefault="00D87555" w:rsidP="00D87555">
      <w:pPr>
        <w:spacing w:before="100" w:beforeAutospacing="1" w:after="100" w:afterAutospacing="1" w:line="270" w:lineRule="atLeast"/>
        <w:rPr>
          <w:rStyle w:val="agcmg"/>
          <w:rFonts w:ascii="Avenir Book" w:hAnsi="Avenir Book"/>
          <w:sz w:val="22"/>
          <w:szCs w:val="22"/>
        </w:rPr>
      </w:pPr>
      <w:r w:rsidRPr="00D87555">
        <w:rPr>
          <w:rStyle w:val="agcmg"/>
          <w:rFonts w:ascii="Avenir Book" w:hAnsi="Avenir Book"/>
          <w:sz w:val="22"/>
          <w:szCs w:val="22"/>
        </w:rPr>
        <w:t>Freedom of religion or belief is the right of every person to hold, change, manifest, or reject religious or non-religious beliefs, individually or collectively, in public or private, without coercion, discrimination, or undue interference from the state or others whatsoever. The Right is rooted in key documents such as the Universal Declaration of Human Rights (UDHR), Article 18, and the International Covenant on Civil and Political Rights (ICCPR), UNCRC Article 14 which guarantees children the right to freedom of thought, conscience and religion,</w:t>
      </w:r>
      <w:r>
        <w:rPr>
          <w:rStyle w:val="agcmg"/>
          <w:rFonts w:ascii="Avenir Book" w:hAnsi="Avenir Book"/>
          <w:sz w:val="22"/>
          <w:szCs w:val="22"/>
        </w:rPr>
        <w:t xml:space="preserve"> </w:t>
      </w:r>
      <w:r w:rsidRPr="00D87555">
        <w:rPr>
          <w:rStyle w:val="agcmg"/>
          <w:rFonts w:ascii="Avenir Book" w:hAnsi="Avenir Book"/>
          <w:sz w:val="22"/>
          <w:szCs w:val="22"/>
        </w:rPr>
        <w:t>Article 18 and the European Convention on Human Rights, which is enacted in Law in the Human Rights Act 1998.</w:t>
      </w:r>
    </w:p>
    <w:p w14:paraId="4FA0C201" w14:textId="55033F0C" w:rsidR="00D87555" w:rsidRDefault="00D87555" w:rsidP="00D87555">
      <w:pPr>
        <w:spacing w:before="100" w:beforeAutospacing="1" w:after="100" w:afterAutospacing="1" w:line="270" w:lineRule="atLeast"/>
        <w:rPr>
          <w:rStyle w:val="agcmg"/>
          <w:rFonts w:ascii="Avenir Book" w:hAnsi="Avenir Book"/>
          <w:b/>
          <w:bCs/>
        </w:rPr>
      </w:pPr>
      <w:r>
        <w:rPr>
          <w:rStyle w:val="agcmg"/>
          <w:rFonts w:ascii="Avenir Book" w:hAnsi="Avenir Book"/>
          <w:b/>
          <w:bCs/>
        </w:rPr>
        <w:t xml:space="preserve">FoRB development </w:t>
      </w:r>
    </w:p>
    <w:p w14:paraId="3EFA2974" w14:textId="044C7953" w:rsidR="00D87555" w:rsidRP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I</w:t>
      </w:r>
      <w:r w:rsidRPr="00D87555">
        <w:rPr>
          <w:rFonts w:ascii="Avenir Book" w:eastAsia="Times New Roman" w:hAnsi="Avenir Book" w:cs="Times New Roman"/>
          <w:kern w:val="0"/>
          <w:sz w:val="22"/>
          <w:szCs w:val="22"/>
          <w:lang w:eastAsia="en-GB"/>
          <w14:ligatures w14:val="none"/>
        </w:rPr>
        <w:t xml:space="preserve">n developing this </w:t>
      </w:r>
      <w:proofErr w:type="gramStart"/>
      <w:r w:rsidRPr="00D87555">
        <w:rPr>
          <w:rFonts w:ascii="Avenir Book" w:eastAsia="Times New Roman" w:hAnsi="Avenir Book" w:cs="Times New Roman"/>
          <w:kern w:val="0"/>
          <w:sz w:val="22"/>
          <w:szCs w:val="22"/>
          <w:lang w:eastAsia="en-GB"/>
          <w14:ligatures w14:val="none"/>
        </w:rPr>
        <w:t>policy</w:t>
      </w:r>
      <w:proofErr w:type="gramEnd"/>
      <w:r w:rsidRPr="00D87555">
        <w:rPr>
          <w:rFonts w:ascii="Avenir Book" w:eastAsia="Times New Roman" w:hAnsi="Avenir Book" w:cs="Times New Roman"/>
          <w:kern w:val="0"/>
          <w:sz w:val="22"/>
          <w:szCs w:val="22"/>
          <w:lang w:eastAsia="en-GB"/>
          <w14:ligatures w14:val="none"/>
        </w:rPr>
        <w:t xml:space="preserve"> we recognize that there are three domains across which opportunities for engagement with FoRB exist: </w:t>
      </w:r>
    </w:p>
    <w:p w14:paraId="1E151A50" w14:textId="77777777" w:rsidR="00D87555" w:rsidRPr="00D87555" w:rsidRDefault="00D87555" w:rsidP="00D87555">
      <w:pPr>
        <w:numPr>
          <w:ilvl w:val="0"/>
          <w:numId w:val="2"/>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Professional Knowledge</w:t>
      </w:r>
    </w:p>
    <w:p w14:paraId="2A9F3A5E" w14:textId="77777777" w:rsidR="00D87555" w:rsidRPr="00D87555" w:rsidRDefault="00D87555" w:rsidP="00D87555">
      <w:pPr>
        <w:numPr>
          <w:ilvl w:val="0"/>
          <w:numId w:val="2"/>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Curriculum</w:t>
      </w:r>
    </w:p>
    <w:p w14:paraId="398EF0AE" w14:textId="77777777" w:rsidR="00D87555" w:rsidRPr="00D87555" w:rsidRDefault="00D87555" w:rsidP="00D87555">
      <w:pPr>
        <w:numPr>
          <w:ilvl w:val="0"/>
          <w:numId w:val="2"/>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Leadership Practice</w:t>
      </w:r>
    </w:p>
    <w:p w14:paraId="3BB41675"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Opportunities to deepen their understanding and awareness of FoRB are available to all pupils regardless of religious or belief and are fostered through relationships, reflection, creativity, contemplation and exploration of meaning. Pupils are supported in developing their beliefs while respecting others. Opportunities occur across the curriculum, assemblies, events, visits, pupil leadership, displays and lesson planning.</w:t>
      </w:r>
    </w:p>
    <w:p w14:paraId="19AB3E64" w14:textId="74A7EA45" w:rsidR="00D87555" w:rsidRPr="00D87555" w:rsidRDefault="00D87555" w:rsidP="00D87555">
      <w:pPr>
        <w:spacing w:before="100" w:beforeAutospacing="1" w:after="100" w:afterAutospacing="1" w:line="270" w:lineRule="atLeast"/>
        <w:rPr>
          <w:rFonts w:ascii="Avenir Book" w:eastAsia="Times New Roman" w:hAnsi="Avenir Book" w:cs="Times New Roman"/>
          <w:b/>
          <w:bCs/>
          <w:kern w:val="0"/>
          <w:sz w:val="22"/>
          <w:szCs w:val="22"/>
          <w:lang w:eastAsia="en-GB"/>
          <w14:ligatures w14:val="none"/>
        </w:rPr>
      </w:pPr>
      <w:r w:rsidRPr="00D87555">
        <w:rPr>
          <w:rStyle w:val="agcmg"/>
          <w:rFonts w:ascii="Avenir Book" w:hAnsi="Avenir Book"/>
          <w:b/>
          <w:bCs/>
        </w:rPr>
        <w:t>Curriculum Contributions to FoRB</w:t>
      </w:r>
    </w:p>
    <w:p w14:paraId="39B8D339"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All subject and pastoral leads are made aware of their responsibility to consider opportunities to promote understanding and awareness of FoRB within their curriculums. Similarly, all staff understand that it is everyone’s responsibility to consider the contribution that the entire curriculum and school culture can make. Nonetheless, there are specific areas of focus. </w:t>
      </w:r>
    </w:p>
    <w:p w14:paraId="028C081A"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Subjects contributing most directly to FoRB are:</w:t>
      </w:r>
    </w:p>
    <w:p w14:paraId="511F917B" w14:textId="77777777" w:rsidR="00D87555" w:rsidRPr="00D87555" w:rsidRDefault="00D87555" w:rsidP="00D87555">
      <w:pPr>
        <w:numPr>
          <w:ilvl w:val="0"/>
          <w:numId w:val="3"/>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Religious Education/Religious Studies</w:t>
      </w:r>
    </w:p>
    <w:p w14:paraId="431CF2D4" w14:textId="77777777" w:rsidR="00D87555" w:rsidRPr="00D87555" w:rsidRDefault="00D87555" w:rsidP="00D87555">
      <w:pPr>
        <w:numPr>
          <w:ilvl w:val="0"/>
          <w:numId w:val="3"/>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Citizenship</w:t>
      </w:r>
    </w:p>
    <w:p w14:paraId="489C8303" w14:textId="77777777" w:rsidR="00D87555" w:rsidRPr="00D87555" w:rsidRDefault="00D87555" w:rsidP="00D87555">
      <w:pPr>
        <w:numPr>
          <w:ilvl w:val="0"/>
          <w:numId w:val="3"/>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PSHE</w:t>
      </w:r>
    </w:p>
    <w:p w14:paraId="375AD552" w14:textId="77777777" w:rsidR="00D87555" w:rsidRPr="00D87555" w:rsidRDefault="00D87555" w:rsidP="00D87555">
      <w:pPr>
        <w:numPr>
          <w:ilvl w:val="0"/>
          <w:numId w:val="3"/>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History</w:t>
      </w:r>
    </w:p>
    <w:p w14:paraId="32B66C5A" w14:textId="77777777" w:rsidR="00D87555" w:rsidRPr="00D87555" w:rsidRDefault="00D87555" w:rsidP="00D87555">
      <w:pPr>
        <w:numPr>
          <w:ilvl w:val="0"/>
          <w:numId w:val="3"/>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English</w:t>
      </w:r>
    </w:p>
    <w:p w14:paraId="1B679010" w14:textId="77777777" w:rsidR="00D87555" w:rsidRDefault="00D87555" w:rsidP="00D87555">
      <w:pPr>
        <w:numPr>
          <w:ilvl w:val="0"/>
          <w:numId w:val="3"/>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Geography</w:t>
      </w:r>
    </w:p>
    <w:p w14:paraId="13317CDE" w14:textId="77777777" w:rsidR="00D87555" w:rsidRDefault="00D87555" w:rsidP="00D87555">
      <w:pPr>
        <w:spacing w:before="100" w:beforeAutospacing="1" w:after="100" w:afterAutospacing="1"/>
        <w:rPr>
          <w:rFonts w:ascii="Avenir Book" w:eastAsia="Times New Roman" w:hAnsi="Avenir Book" w:cs="Times New Roman"/>
          <w:kern w:val="0"/>
          <w:sz w:val="22"/>
          <w:szCs w:val="22"/>
          <w:lang w:eastAsia="en-GB"/>
          <w14:ligatures w14:val="none"/>
        </w:rPr>
      </w:pPr>
    </w:p>
    <w:p w14:paraId="6FC6A595" w14:textId="77777777" w:rsidR="00D87555" w:rsidRDefault="00D87555" w:rsidP="00D87555">
      <w:pPr>
        <w:spacing w:before="100" w:beforeAutospacing="1" w:after="100" w:afterAutospacing="1"/>
        <w:rPr>
          <w:rFonts w:ascii="Avenir Book" w:eastAsia="Times New Roman" w:hAnsi="Avenir Book" w:cs="Times New Roman"/>
          <w:kern w:val="0"/>
          <w:sz w:val="22"/>
          <w:szCs w:val="22"/>
          <w:lang w:eastAsia="en-GB"/>
          <w14:ligatures w14:val="none"/>
        </w:rPr>
      </w:pPr>
    </w:p>
    <w:p w14:paraId="134BC86F" w14:textId="77777777" w:rsidR="00D87555" w:rsidRPr="00D87555" w:rsidRDefault="00D87555" w:rsidP="00D87555">
      <w:pPr>
        <w:pStyle w:val="cvgsua"/>
        <w:spacing w:line="270" w:lineRule="atLeast"/>
        <w:rPr>
          <w:rFonts w:ascii="Avenir Book" w:hAnsi="Avenir Book"/>
          <w:sz w:val="22"/>
          <w:szCs w:val="22"/>
        </w:rPr>
      </w:pPr>
      <w:r w:rsidRPr="00D87555">
        <w:rPr>
          <w:rStyle w:val="agcmg"/>
          <w:rFonts w:ascii="Avenir Book" w:eastAsiaTheme="majorEastAsia" w:hAnsi="Avenir Book"/>
          <w:sz w:val="22"/>
          <w:szCs w:val="22"/>
        </w:rPr>
        <w:t>Each subject contributes through reflection, ethical discussion, cultural awareness, collaboration and appreciation of human achievement.</w:t>
      </w:r>
    </w:p>
    <w:p w14:paraId="5D551194" w14:textId="77777777" w:rsidR="00D87555" w:rsidRDefault="00D87555" w:rsidP="00D87555">
      <w:pPr>
        <w:pStyle w:val="cvgsua"/>
        <w:spacing w:line="270" w:lineRule="atLeast"/>
        <w:rPr>
          <w:rStyle w:val="agcmg"/>
          <w:rFonts w:ascii="Avenir Book" w:eastAsiaTheme="majorEastAsia" w:hAnsi="Avenir Book"/>
          <w:sz w:val="22"/>
          <w:szCs w:val="22"/>
        </w:rPr>
      </w:pPr>
      <w:r w:rsidRPr="00D87555">
        <w:rPr>
          <w:rStyle w:val="agcmg"/>
          <w:rFonts w:ascii="Avenir Book" w:eastAsiaTheme="majorEastAsia" w:hAnsi="Avenir Book"/>
          <w:sz w:val="22"/>
          <w:szCs w:val="22"/>
        </w:rPr>
        <w:t xml:space="preserve">Examples of school practice can be found in Annex 1. </w:t>
      </w:r>
    </w:p>
    <w:p w14:paraId="3FBC3957"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lang w:eastAsia="en-GB"/>
          <w14:ligatures w14:val="none"/>
        </w:rPr>
      </w:pPr>
      <w:r w:rsidRPr="00D87555">
        <w:rPr>
          <w:rFonts w:ascii="Avenir Book" w:eastAsia="Times New Roman" w:hAnsi="Avenir Book" w:cs="Times New Roman"/>
          <w:b/>
          <w:bCs/>
          <w:kern w:val="0"/>
          <w:lang w:eastAsia="en-GB"/>
          <w14:ligatures w14:val="none"/>
        </w:rPr>
        <w:t xml:space="preserve">Beyond the curriculum and enrichment </w:t>
      </w:r>
    </w:p>
    <w:p w14:paraId="32F09EAA"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Assemblies and collective worship</w:t>
      </w:r>
    </w:p>
    <w:p w14:paraId="5403B45A"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Student leadership and school councils</w:t>
      </w:r>
    </w:p>
    <w:p w14:paraId="2D2ABD4F"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Visits, trips and exchanges</w:t>
      </w:r>
    </w:p>
    <w:p w14:paraId="5BAD46A8"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Community projects and volunteering</w:t>
      </w:r>
    </w:p>
    <w:p w14:paraId="217C7566"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Cultural and religious celebrations</w:t>
      </w:r>
    </w:p>
    <w:p w14:paraId="3EB07FC7"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External speakers and partnerships</w:t>
      </w:r>
    </w:p>
    <w:p w14:paraId="1422D834" w14:textId="77777777" w:rsidR="00D87555" w:rsidRPr="00D87555" w:rsidRDefault="00D87555" w:rsidP="00D87555">
      <w:pPr>
        <w:numPr>
          <w:ilvl w:val="0"/>
          <w:numId w:val="4"/>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Behaviour policies </w:t>
      </w:r>
    </w:p>
    <w:p w14:paraId="17CCED61"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Examples of school practice can be found in Annex 2. </w:t>
      </w:r>
    </w:p>
    <w:p w14:paraId="454AF429" w14:textId="77777777" w:rsidR="00D87555" w:rsidRPr="00D87555" w:rsidRDefault="00D87555" w:rsidP="00D87555">
      <w:pPr>
        <w:spacing w:before="100" w:beforeAutospacing="1" w:after="100" w:afterAutospacing="1" w:line="270" w:lineRule="atLeast"/>
        <w:rPr>
          <w:rFonts w:ascii="Avenir Book" w:eastAsia="Times New Roman" w:hAnsi="Avenir Book" w:cs="Times New Roman"/>
          <w:kern w:val="0"/>
          <w:lang w:eastAsia="en-GB"/>
          <w14:ligatures w14:val="none"/>
        </w:rPr>
      </w:pPr>
      <w:r w:rsidRPr="00D87555">
        <w:rPr>
          <w:rFonts w:ascii="Avenir Book" w:eastAsia="Times New Roman" w:hAnsi="Avenir Book" w:cs="Times New Roman"/>
          <w:b/>
          <w:bCs/>
          <w:kern w:val="0"/>
          <w:lang w:eastAsia="en-GB"/>
          <w14:ligatures w14:val="none"/>
        </w:rPr>
        <w:t>Annexe 1. Curriculum contributions</w:t>
      </w:r>
    </w:p>
    <w:p w14:paraId="67859E76" w14:textId="77777777" w:rsidR="00D87555" w:rsidRPr="00D87555" w:rsidRDefault="00D87555" w:rsidP="00D87555">
      <w:pPr>
        <w:numPr>
          <w:ilvl w:val="0"/>
          <w:numId w:val="5"/>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Example School participates in activities provided by </w:t>
      </w:r>
      <w:hyperlink r:id="rId7" w:tgtFrame="_blank" w:history="1">
        <w:r w:rsidRPr="00D87555">
          <w:rPr>
            <w:rFonts w:ascii="Avenir Book" w:eastAsia="Times New Roman" w:hAnsi="Avenir Book" w:cs="Times New Roman"/>
            <w:color w:val="0000FF"/>
            <w:kern w:val="0"/>
            <w:sz w:val="22"/>
            <w:szCs w:val="22"/>
            <w:u w:val="single"/>
            <w:lang w:eastAsia="en-GB"/>
            <w14:ligatures w14:val="none"/>
          </w:rPr>
          <w:t>Faith &amp; Belief Forum</w:t>
        </w:r>
      </w:hyperlink>
      <w:r w:rsidRPr="00D87555">
        <w:rPr>
          <w:rFonts w:ascii="Avenir Book" w:eastAsia="Times New Roman" w:hAnsi="Avenir Book" w:cs="Times New Roman"/>
          <w:kern w:val="0"/>
          <w:sz w:val="22"/>
          <w:szCs w:val="22"/>
          <w:lang w:eastAsia="en-GB"/>
          <w14:ligatures w14:val="none"/>
        </w:rPr>
        <w:t xml:space="preserve"> enabling children to engage with people of different faiths and beliefs; student from Example School were actively encouraged to reflect on difference and develop skills for respectful dialogue. The partnership was publicized in communications to parents/guardians and the wider school community. </w:t>
      </w:r>
    </w:p>
    <w:p w14:paraId="0C1CFF58" w14:textId="77777777" w:rsidR="00D87555" w:rsidRPr="00D87555" w:rsidRDefault="00D87555" w:rsidP="00D87555">
      <w:pPr>
        <w:numPr>
          <w:ilvl w:val="0"/>
          <w:numId w:val="5"/>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In Year X, students at Example School learn about civil and political rights by studying the American Civil Rights movement. Subject leads from History, English and RE have coordinated to develop a set of questions which students explore enabling opportunities to reflect on contemporary restrictions of civil and political rights, including religious freedom. Curriculum leads have engaged with </w:t>
      </w:r>
      <w:hyperlink r:id="rId8" w:tgtFrame="_blank" w:history="1">
        <w:r w:rsidRPr="00D87555">
          <w:rPr>
            <w:rFonts w:ascii="Avenir Book" w:eastAsia="Times New Roman" w:hAnsi="Avenir Book" w:cs="Times New Roman"/>
            <w:color w:val="0000FF"/>
            <w:kern w:val="0"/>
            <w:sz w:val="22"/>
            <w:szCs w:val="22"/>
            <w:u w:val="single"/>
            <w:lang w:eastAsia="en-GB"/>
            <w14:ligatures w14:val="none"/>
          </w:rPr>
          <w:t>Teach for Tomorrow</w:t>
        </w:r>
      </w:hyperlink>
      <w:r w:rsidRPr="00D87555">
        <w:rPr>
          <w:rFonts w:ascii="Avenir Book" w:eastAsia="Times New Roman" w:hAnsi="Avenir Book" w:cs="Times New Roman"/>
          <w:kern w:val="0"/>
          <w:sz w:val="22"/>
          <w:szCs w:val="22"/>
          <w:lang w:eastAsia="en-GB"/>
          <w14:ligatures w14:val="none"/>
        </w:rPr>
        <w:t xml:space="preserve"> (formerly Facing History and Ourselves) and accessed resources which specifically mention and focus on FoRB. </w:t>
      </w:r>
    </w:p>
    <w:p w14:paraId="4F7C8AB7" w14:textId="77777777" w:rsidR="00D87555" w:rsidRPr="00D87555" w:rsidRDefault="00D87555" w:rsidP="00D87555">
      <w:pPr>
        <w:numPr>
          <w:ilvl w:val="0"/>
          <w:numId w:val="5"/>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In Year X, students at Example School learn about World War II. Subject leads from History, English and RE have coordinated to develop a set of questions which students explore enabling opportunities to reflect on issues of contemporary discrimination including thinking about anti-Semitism and anti-Muslim hate. Teachers have worked with providers including </w:t>
      </w:r>
      <w:hyperlink r:id="rId9" w:tgtFrame="_blank" w:history="1">
        <w:r w:rsidRPr="00D87555">
          <w:rPr>
            <w:rFonts w:ascii="Avenir Book" w:eastAsia="Times New Roman" w:hAnsi="Avenir Book" w:cs="Times New Roman"/>
            <w:color w:val="0000FF"/>
            <w:kern w:val="0"/>
            <w:sz w:val="22"/>
            <w:szCs w:val="22"/>
            <w:u w:val="single"/>
            <w:lang w:eastAsia="en-GB"/>
            <w14:ligatures w14:val="none"/>
          </w:rPr>
          <w:t>Remembering Srebrenica</w:t>
        </w:r>
      </w:hyperlink>
      <w:r w:rsidRPr="00D87555">
        <w:rPr>
          <w:rFonts w:ascii="Avenir Book" w:eastAsia="Times New Roman" w:hAnsi="Avenir Book" w:cs="Times New Roman"/>
          <w:kern w:val="0"/>
          <w:sz w:val="22"/>
          <w:szCs w:val="22"/>
          <w:lang w:eastAsia="en-GB"/>
          <w14:ligatures w14:val="none"/>
        </w:rPr>
        <w:t xml:space="preserve"> and the </w:t>
      </w:r>
      <w:hyperlink r:id="rId10" w:tgtFrame="_blank" w:history="1">
        <w:r w:rsidRPr="00D87555">
          <w:rPr>
            <w:rFonts w:ascii="Avenir Book" w:eastAsia="Times New Roman" w:hAnsi="Avenir Book" w:cs="Times New Roman"/>
            <w:color w:val="0000FF"/>
            <w:kern w:val="0"/>
            <w:sz w:val="22"/>
            <w:szCs w:val="22"/>
            <w:u w:val="single"/>
            <w:lang w:eastAsia="en-GB"/>
            <w14:ligatures w14:val="none"/>
          </w:rPr>
          <w:t>Holocaust Memorial Day Trust</w:t>
        </w:r>
      </w:hyperlink>
      <w:r w:rsidRPr="00D87555">
        <w:rPr>
          <w:rFonts w:ascii="Avenir Book" w:eastAsia="Times New Roman" w:hAnsi="Avenir Book" w:cs="Times New Roman"/>
          <w:kern w:val="0"/>
          <w:sz w:val="22"/>
          <w:szCs w:val="22"/>
          <w:lang w:eastAsia="en-GB"/>
          <w14:ligatures w14:val="none"/>
        </w:rPr>
        <w:t xml:space="preserve"> to develop these framing questions. </w:t>
      </w:r>
    </w:p>
    <w:p w14:paraId="021A1189" w14:textId="374D5351" w:rsidR="00D87555" w:rsidRDefault="00D87555" w:rsidP="00D87555">
      <w:pPr>
        <w:numPr>
          <w:ilvl w:val="0"/>
          <w:numId w:val="5"/>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Example School provides time and support for the RE lead to engage with the local SACRE. By doing so, they feel confident to take pupils to local places of worship and regularly welcome approved speakers into classrooms, including those form minority religious backgrounds. </w:t>
      </w:r>
    </w:p>
    <w:p w14:paraId="15ADCDC9" w14:textId="77777777" w:rsidR="00D87555" w:rsidRDefault="00D87555" w:rsidP="00D87555">
      <w:pPr>
        <w:spacing w:before="100" w:beforeAutospacing="1" w:after="100" w:afterAutospacing="1"/>
        <w:rPr>
          <w:rFonts w:ascii="Avenir Book" w:eastAsia="Times New Roman" w:hAnsi="Avenir Book" w:cs="Times New Roman"/>
          <w:kern w:val="0"/>
          <w:sz w:val="22"/>
          <w:szCs w:val="22"/>
          <w:lang w:eastAsia="en-GB"/>
          <w14:ligatures w14:val="none"/>
        </w:rPr>
      </w:pPr>
    </w:p>
    <w:p w14:paraId="20245C3B" w14:textId="5E6429E4" w:rsidR="00D87555" w:rsidRDefault="00D87555" w:rsidP="00D87555">
      <w:pPr>
        <w:spacing w:before="100" w:beforeAutospacing="1" w:after="100" w:afterAutospacing="1"/>
        <w:rPr>
          <w:rFonts w:ascii="Avenir Book" w:eastAsia="Times New Roman" w:hAnsi="Avenir Book" w:cs="Times New Roman"/>
          <w:kern w:val="0"/>
          <w:sz w:val="22"/>
          <w:szCs w:val="22"/>
          <w:lang w:eastAsia="en-GB"/>
          <w14:ligatures w14:val="none"/>
        </w:rPr>
      </w:pPr>
    </w:p>
    <w:p w14:paraId="7D54F8BE" w14:textId="153E8DEC" w:rsidR="00D87555" w:rsidRPr="00D87555" w:rsidRDefault="00D87555" w:rsidP="00D87555">
      <w:pPr>
        <w:spacing w:before="100" w:beforeAutospacing="1" w:after="100" w:afterAutospacing="1" w:line="270" w:lineRule="atLeast"/>
        <w:rPr>
          <w:rFonts w:ascii="Avenir Book" w:eastAsia="Times New Roman" w:hAnsi="Avenir Book" w:cs="Times New Roman"/>
          <w:kern w:val="0"/>
          <w:lang w:eastAsia="en-GB"/>
          <w14:ligatures w14:val="none"/>
        </w:rPr>
      </w:pPr>
      <w:r w:rsidRPr="00D87555">
        <w:rPr>
          <w:rFonts w:ascii="Avenir Book" w:eastAsia="Times New Roman" w:hAnsi="Avenir Book" w:cs="Times New Roman"/>
          <w:b/>
          <w:bCs/>
          <w:kern w:val="0"/>
          <w:lang w:eastAsia="en-GB"/>
          <w14:ligatures w14:val="none"/>
        </w:rPr>
        <w:t xml:space="preserve">Annexe 2. </w:t>
      </w:r>
      <w:r>
        <w:rPr>
          <w:rFonts w:ascii="Avenir Book" w:eastAsia="Times New Roman" w:hAnsi="Avenir Book" w:cs="Times New Roman"/>
          <w:b/>
          <w:bCs/>
          <w:kern w:val="0"/>
          <w:lang w:eastAsia="en-GB"/>
          <w14:ligatures w14:val="none"/>
        </w:rPr>
        <w:t xml:space="preserve">Beyond the Curriculum and Enrichment </w:t>
      </w:r>
    </w:p>
    <w:p w14:paraId="3FD79426" w14:textId="77777777" w:rsidR="00D87555" w:rsidRPr="00D87555" w:rsidRDefault="00D87555" w:rsidP="00D87555">
      <w:pPr>
        <w:numPr>
          <w:ilvl w:val="0"/>
          <w:numId w:val="6"/>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Teacher A was encouraged to do </w:t>
      </w:r>
      <w:hyperlink r:id="rId11" w:tgtFrame="_blank" w:history="1">
        <w:r w:rsidRPr="00D87555">
          <w:rPr>
            <w:rFonts w:ascii="Avenir Book" w:eastAsia="Times New Roman" w:hAnsi="Avenir Book" w:cs="Times New Roman"/>
            <w:color w:val="0000FF"/>
            <w:kern w:val="0"/>
            <w:sz w:val="22"/>
            <w:szCs w:val="22"/>
            <w:u w:val="single"/>
            <w:lang w:eastAsia="en-GB"/>
            <w14:ligatures w14:val="none"/>
          </w:rPr>
          <w:t>FoRB professional development</w:t>
        </w:r>
      </w:hyperlink>
      <w:r w:rsidRPr="00D87555">
        <w:rPr>
          <w:rFonts w:ascii="Avenir Book" w:eastAsia="Times New Roman" w:hAnsi="Avenir Book" w:cs="Times New Roman"/>
          <w:kern w:val="0"/>
          <w:sz w:val="22"/>
          <w:szCs w:val="22"/>
          <w:lang w:eastAsia="en-GB"/>
          <w14:ligatures w14:val="none"/>
        </w:rPr>
        <w:t xml:space="preserve"> provided by Culham St. Gabriels; Teacher A then created resources which were disseminated to colleagues.</w:t>
      </w:r>
    </w:p>
    <w:p w14:paraId="4C5B4AB3" w14:textId="77777777" w:rsidR="00D87555" w:rsidRPr="00D87555" w:rsidRDefault="00D87555" w:rsidP="00D87555">
      <w:pPr>
        <w:numPr>
          <w:ilvl w:val="0"/>
          <w:numId w:val="6"/>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Example School hosted an Iftar for its local Muslim community; school displays were created to mark this event linking hosting the Iftar directly to the vision and ethos of the school. The event was also publicized in communications to parents/guardians and the wider school community. </w:t>
      </w:r>
    </w:p>
    <w:p w14:paraId="654D8726" w14:textId="77777777" w:rsidR="00D87555" w:rsidRPr="00D87555" w:rsidRDefault="00D87555" w:rsidP="00D87555">
      <w:pPr>
        <w:numPr>
          <w:ilvl w:val="0"/>
          <w:numId w:val="6"/>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Example School participated in local </w:t>
      </w:r>
      <w:hyperlink r:id="rId12" w:tgtFrame="_blank" w:history="1">
        <w:r w:rsidRPr="00D87555">
          <w:rPr>
            <w:rFonts w:ascii="Avenir Book" w:eastAsia="Times New Roman" w:hAnsi="Avenir Book" w:cs="Times New Roman"/>
            <w:color w:val="0000FF"/>
            <w:kern w:val="0"/>
            <w:sz w:val="22"/>
            <w:szCs w:val="22"/>
            <w:u w:val="single"/>
            <w:lang w:eastAsia="en-GB"/>
            <w14:ligatures w14:val="none"/>
          </w:rPr>
          <w:t>Holocaust Memorial Day</w:t>
        </w:r>
      </w:hyperlink>
      <w:r w:rsidRPr="00D87555">
        <w:rPr>
          <w:rFonts w:ascii="Avenir Book" w:eastAsia="Times New Roman" w:hAnsi="Avenir Book" w:cs="Times New Roman"/>
          <w:kern w:val="0"/>
          <w:sz w:val="22"/>
          <w:szCs w:val="22"/>
          <w:lang w:eastAsia="en-GB"/>
          <w14:ligatures w14:val="none"/>
        </w:rPr>
        <w:t xml:space="preserve"> commemoration activities; school displays were created to mark this event linking directly to the vision and ethos of the school. The event was also publicized in communications to parents/guardians and the wider school community. </w:t>
      </w:r>
    </w:p>
    <w:p w14:paraId="6A4699A3" w14:textId="77777777" w:rsidR="00D87555" w:rsidRPr="00D87555" w:rsidRDefault="00D87555" w:rsidP="00D87555">
      <w:pPr>
        <w:numPr>
          <w:ilvl w:val="0"/>
          <w:numId w:val="6"/>
        </w:numPr>
        <w:spacing w:before="100" w:beforeAutospacing="1" w:after="100" w:afterAutospacing="1"/>
        <w:rPr>
          <w:rFonts w:ascii="Avenir Book" w:eastAsia="Times New Roman" w:hAnsi="Avenir Book" w:cs="Times New Roman"/>
          <w:kern w:val="0"/>
          <w:sz w:val="22"/>
          <w:szCs w:val="22"/>
          <w:lang w:eastAsia="en-GB"/>
          <w14:ligatures w14:val="none"/>
        </w:rPr>
      </w:pPr>
      <w:hyperlink r:id="rId13" w:tgtFrame="_blank" w:history="1">
        <w:r w:rsidRPr="00D87555">
          <w:rPr>
            <w:rFonts w:ascii="Avenir Book" w:eastAsia="Times New Roman" w:hAnsi="Avenir Book" w:cs="Times New Roman"/>
            <w:color w:val="0000FF"/>
            <w:kern w:val="0"/>
            <w:sz w:val="22"/>
            <w:szCs w:val="22"/>
            <w:u w:val="single"/>
            <w:lang w:eastAsia="en-GB"/>
            <w14:ligatures w14:val="none"/>
          </w:rPr>
          <w:t>Holocaust Educational Trust</w:t>
        </w:r>
      </w:hyperlink>
      <w:r w:rsidRPr="00D87555">
        <w:rPr>
          <w:rFonts w:ascii="Avenir Book" w:eastAsia="Times New Roman" w:hAnsi="Avenir Book" w:cs="Times New Roman"/>
          <w:kern w:val="0"/>
          <w:sz w:val="22"/>
          <w:szCs w:val="22"/>
          <w:lang w:eastAsia="en-GB"/>
          <w14:ligatures w14:val="none"/>
        </w:rPr>
        <w:t xml:space="preserve"> delivered 90min training on identifying and addressing antisemitism in schools to all staff. </w:t>
      </w:r>
    </w:p>
    <w:p w14:paraId="31810471" w14:textId="77777777" w:rsidR="00D87555" w:rsidRPr="00D87555" w:rsidRDefault="00D87555" w:rsidP="00D87555">
      <w:pPr>
        <w:numPr>
          <w:ilvl w:val="0"/>
          <w:numId w:val="6"/>
        </w:numPr>
        <w:spacing w:before="100" w:beforeAutospacing="1" w:after="100" w:afterAutospacing="1"/>
        <w:rPr>
          <w:rFonts w:ascii="Avenir Book" w:eastAsia="Times New Roman" w:hAnsi="Avenir Book" w:cs="Times New Roman"/>
          <w:kern w:val="0"/>
          <w:sz w:val="22"/>
          <w:szCs w:val="22"/>
          <w:lang w:eastAsia="en-GB"/>
          <w14:ligatures w14:val="none"/>
        </w:rPr>
      </w:pPr>
      <w:r w:rsidRPr="00D87555">
        <w:rPr>
          <w:rFonts w:ascii="Avenir Book" w:eastAsia="Times New Roman" w:hAnsi="Avenir Book" w:cs="Times New Roman"/>
          <w:kern w:val="0"/>
          <w:sz w:val="22"/>
          <w:szCs w:val="22"/>
          <w:lang w:eastAsia="en-GB"/>
          <w14:ligatures w14:val="none"/>
        </w:rPr>
        <w:t xml:space="preserve">Staff from Example School with responsibility for anti-bullying, anti-racist and Behaviour Management policies developed specific measures for addressing Anti-Semitism, Anti-Muslim hate and other forms of religiously motivated hate. They worked with </w:t>
      </w:r>
      <w:hyperlink r:id="rId14" w:tgtFrame="_blank" w:history="1">
        <w:r w:rsidRPr="00D87555">
          <w:rPr>
            <w:rFonts w:ascii="Avenir Book" w:eastAsia="Times New Roman" w:hAnsi="Avenir Book" w:cs="Times New Roman"/>
            <w:color w:val="0000FF"/>
            <w:kern w:val="0"/>
            <w:sz w:val="22"/>
            <w:szCs w:val="22"/>
            <w:u w:val="single"/>
            <w:lang w:eastAsia="en-GB"/>
            <w14:ligatures w14:val="none"/>
          </w:rPr>
          <w:t>Stand Up Education</w:t>
        </w:r>
      </w:hyperlink>
      <w:r w:rsidRPr="00D87555">
        <w:rPr>
          <w:rFonts w:ascii="Avenir Book" w:eastAsia="Times New Roman" w:hAnsi="Avenir Book" w:cs="Times New Roman"/>
          <w:kern w:val="0"/>
          <w:sz w:val="22"/>
          <w:szCs w:val="22"/>
          <w:lang w:eastAsia="en-GB"/>
          <w14:ligatures w14:val="none"/>
        </w:rPr>
        <w:t>, delivering training to colleagues and communicating to parents/carers and the wider school community zero tolerance approach to all forms of anti-religious hate.</w:t>
      </w:r>
    </w:p>
    <w:p w14:paraId="1DB8DFE8" w14:textId="77777777" w:rsidR="00D87555" w:rsidRPr="00D87555" w:rsidRDefault="00D87555" w:rsidP="00D87555">
      <w:pPr>
        <w:spacing w:before="100" w:beforeAutospacing="1" w:after="100" w:afterAutospacing="1"/>
        <w:rPr>
          <w:rFonts w:ascii="Avenir Book" w:eastAsia="Times New Roman" w:hAnsi="Avenir Book" w:cs="Times New Roman"/>
          <w:kern w:val="0"/>
          <w:sz w:val="22"/>
          <w:szCs w:val="22"/>
          <w:lang w:eastAsia="en-GB"/>
          <w14:ligatures w14:val="none"/>
        </w:rPr>
      </w:pPr>
    </w:p>
    <w:p w14:paraId="395834D6" w14:textId="77777777" w:rsidR="00D87555" w:rsidRPr="00D87555" w:rsidRDefault="00D87555" w:rsidP="00D87555">
      <w:pPr>
        <w:spacing w:before="100" w:beforeAutospacing="1" w:after="100" w:afterAutospacing="1"/>
        <w:rPr>
          <w:rFonts w:ascii="Avenir Book" w:eastAsia="Times New Roman" w:hAnsi="Avenir Book" w:cs="Times New Roman"/>
          <w:kern w:val="0"/>
          <w:sz w:val="22"/>
          <w:szCs w:val="22"/>
          <w:lang w:eastAsia="en-GB"/>
          <w14:ligatures w14:val="none"/>
        </w:rPr>
      </w:pPr>
    </w:p>
    <w:p w14:paraId="45662365" w14:textId="77777777" w:rsidR="00D87555" w:rsidRPr="00D87555" w:rsidRDefault="00D87555">
      <w:pPr>
        <w:rPr>
          <w:rFonts w:ascii="Avenir Book" w:hAnsi="Avenir Book"/>
          <w:sz w:val="22"/>
          <w:szCs w:val="22"/>
        </w:rPr>
      </w:pPr>
    </w:p>
    <w:sectPr w:rsidR="00D87555" w:rsidRPr="00D8755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DF80" w14:textId="77777777" w:rsidR="00D87555" w:rsidRDefault="00D87555" w:rsidP="00D87555">
      <w:r>
        <w:separator/>
      </w:r>
    </w:p>
  </w:endnote>
  <w:endnote w:type="continuationSeparator" w:id="0">
    <w:p w14:paraId="7A0B1BA2" w14:textId="77777777" w:rsidR="00D87555" w:rsidRDefault="00D87555" w:rsidP="00D8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EAE9" w14:textId="77777777" w:rsidR="00D87555" w:rsidRDefault="00D87555" w:rsidP="00D87555">
      <w:r>
        <w:separator/>
      </w:r>
    </w:p>
  </w:footnote>
  <w:footnote w:type="continuationSeparator" w:id="0">
    <w:p w14:paraId="5C069355" w14:textId="77777777" w:rsidR="00D87555" w:rsidRDefault="00D87555" w:rsidP="00D8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4999" w14:textId="5AA82D85" w:rsidR="00D87555" w:rsidRDefault="00D87555">
    <w:pPr>
      <w:pStyle w:val="Header"/>
    </w:pPr>
    <w:r>
      <w:rPr>
        <w:noProof/>
      </w:rPr>
      <w:drawing>
        <wp:inline distT="0" distB="0" distL="0" distR="0" wp14:anchorId="00E72D00" wp14:editId="77256D2A">
          <wp:extent cx="2537012" cy="579583"/>
          <wp:effectExtent l="0" t="0" r="3175" b="5080"/>
          <wp:docPr id="37671728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17282"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53520" cy="606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B32"/>
    <w:multiLevelType w:val="multilevel"/>
    <w:tmpl w:val="E7E4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05C42"/>
    <w:multiLevelType w:val="multilevel"/>
    <w:tmpl w:val="3B0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E4A82"/>
    <w:multiLevelType w:val="multilevel"/>
    <w:tmpl w:val="6004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21513"/>
    <w:multiLevelType w:val="multilevel"/>
    <w:tmpl w:val="7F7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372F5"/>
    <w:multiLevelType w:val="multilevel"/>
    <w:tmpl w:val="BE0C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25628"/>
    <w:multiLevelType w:val="multilevel"/>
    <w:tmpl w:val="E2F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983233">
    <w:abstractNumId w:val="2"/>
  </w:num>
  <w:num w:numId="2" w16cid:durableId="1472988974">
    <w:abstractNumId w:val="3"/>
  </w:num>
  <w:num w:numId="3" w16cid:durableId="1294825836">
    <w:abstractNumId w:val="0"/>
  </w:num>
  <w:num w:numId="4" w16cid:durableId="262688737">
    <w:abstractNumId w:val="1"/>
  </w:num>
  <w:num w:numId="5" w16cid:durableId="86927352">
    <w:abstractNumId w:val="4"/>
  </w:num>
  <w:num w:numId="6" w16cid:durableId="43913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55"/>
    <w:rsid w:val="00193DE2"/>
    <w:rsid w:val="007808D2"/>
    <w:rsid w:val="009A10B9"/>
    <w:rsid w:val="00BF4CF0"/>
    <w:rsid w:val="00CC5AB5"/>
    <w:rsid w:val="00D87555"/>
    <w:rsid w:val="00E1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8BA75D"/>
  <w15:chartTrackingRefBased/>
  <w15:docId w15:val="{A493394B-E3CC-CA4A-A6AB-F5D55BCA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5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5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5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5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555"/>
    <w:rPr>
      <w:rFonts w:eastAsiaTheme="majorEastAsia" w:cstheme="majorBidi"/>
      <w:color w:val="272727" w:themeColor="text1" w:themeTint="D8"/>
    </w:rPr>
  </w:style>
  <w:style w:type="paragraph" w:styleId="Title">
    <w:name w:val="Title"/>
    <w:basedOn w:val="Normal"/>
    <w:next w:val="Normal"/>
    <w:link w:val="TitleChar"/>
    <w:uiPriority w:val="10"/>
    <w:qFormat/>
    <w:rsid w:val="00D875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5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5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555"/>
    <w:rPr>
      <w:i/>
      <w:iCs/>
      <w:color w:val="404040" w:themeColor="text1" w:themeTint="BF"/>
    </w:rPr>
  </w:style>
  <w:style w:type="paragraph" w:styleId="ListParagraph">
    <w:name w:val="List Paragraph"/>
    <w:basedOn w:val="Normal"/>
    <w:uiPriority w:val="34"/>
    <w:qFormat/>
    <w:rsid w:val="00D87555"/>
    <w:pPr>
      <w:ind w:left="720"/>
      <w:contextualSpacing/>
    </w:pPr>
  </w:style>
  <w:style w:type="character" w:styleId="IntenseEmphasis">
    <w:name w:val="Intense Emphasis"/>
    <w:basedOn w:val="DefaultParagraphFont"/>
    <w:uiPriority w:val="21"/>
    <w:qFormat/>
    <w:rsid w:val="00D87555"/>
    <w:rPr>
      <w:i/>
      <w:iCs/>
      <w:color w:val="0F4761" w:themeColor="accent1" w:themeShade="BF"/>
    </w:rPr>
  </w:style>
  <w:style w:type="paragraph" w:styleId="IntenseQuote">
    <w:name w:val="Intense Quote"/>
    <w:basedOn w:val="Normal"/>
    <w:next w:val="Normal"/>
    <w:link w:val="IntenseQuoteChar"/>
    <w:uiPriority w:val="30"/>
    <w:qFormat/>
    <w:rsid w:val="00D87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555"/>
    <w:rPr>
      <w:i/>
      <w:iCs/>
      <w:color w:val="0F4761" w:themeColor="accent1" w:themeShade="BF"/>
    </w:rPr>
  </w:style>
  <w:style w:type="character" w:styleId="IntenseReference">
    <w:name w:val="Intense Reference"/>
    <w:basedOn w:val="DefaultParagraphFont"/>
    <w:uiPriority w:val="32"/>
    <w:qFormat/>
    <w:rsid w:val="00D87555"/>
    <w:rPr>
      <w:b/>
      <w:bCs/>
      <w:smallCaps/>
      <w:color w:val="0F4761" w:themeColor="accent1" w:themeShade="BF"/>
      <w:spacing w:val="5"/>
    </w:rPr>
  </w:style>
  <w:style w:type="paragraph" w:styleId="Header">
    <w:name w:val="header"/>
    <w:basedOn w:val="Normal"/>
    <w:link w:val="HeaderChar"/>
    <w:uiPriority w:val="99"/>
    <w:unhideWhenUsed/>
    <w:rsid w:val="00D87555"/>
    <w:pPr>
      <w:tabs>
        <w:tab w:val="center" w:pos="4513"/>
        <w:tab w:val="right" w:pos="9026"/>
      </w:tabs>
    </w:pPr>
  </w:style>
  <w:style w:type="character" w:customStyle="1" w:styleId="HeaderChar">
    <w:name w:val="Header Char"/>
    <w:basedOn w:val="DefaultParagraphFont"/>
    <w:link w:val="Header"/>
    <w:uiPriority w:val="99"/>
    <w:rsid w:val="00D87555"/>
  </w:style>
  <w:style w:type="paragraph" w:styleId="Footer">
    <w:name w:val="footer"/>
    <w:basedOn w:val="Normal"/>
    <w:link w:val="FooterChar"/>
    <w:uiPriority w:val="99"/>
    <w:unhideWhenUsed/>
    <w:rsid w:val="00D87555"/>
    <w:pPr>
      <w:tabs>
        <w:tab w:val="center" w:pos="4513"/>
        <w:tab w:val="right" w:pos="9026"/>
      </w:tabs>
    </w:pPr>
  </w:style>
  <w:style w:type="character" w:customStyle="1" w:styleId="FooterChar">
    <w:name w:val="Footer Char"/>
    <w:basedOn w:val="DefaultParagraphFont"/>
    <w:link w:val="Footer"/>
    <w:uiPriority w:val="99"/>
    <w:rsid w:val="00D87555"/>
  </w:style>
  <w:style w:type="paragraph" w:customStyle="1" w:styleId="cvgsua">
    <w:name w:val="cvgsua"/>
    <w:basedOn w:val="Normal"/>
    <w:rsid w:val="00D8755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D87555"/>
  </w:style>
  <w:style w:type="character" w:styleId="Hyperlink">
    <w:name w:val="Hyperlink"/>
    <w:basedOn w:val="DefaultParagraphFont"/>
    <w:uiPriority w:val="99"/>
    <w:semiHidden/>
    <w:unhideWhenUsed/>
    <w:rsid w:val="00D87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fortomorrow.org" TargetMode="External"/><Relationship Id="rId13" Type="http://schemas.openxmlformats.org/officeDocument/2006/relationships/hyperlink" Target="https://www.het.org.uk" TargetMode="External"/><Relationship Id="rId3" Type="http://schemas.openxmlformats.org/officeDocument/2006/relationships/settings" Target="settings.xml"/><Relationship Id="rId7" Type="http://schemas.openxmlformats.org/officeDocument/2006/relationships/hyperlink" Target="https://faithbeliefforum.org" TargetMode="External"/><Relationship Id="rId12" Type="http://schemas.openxmlformats.org/officeDocument/2006/relationships/hyperlink" Target="https://hmd.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cstg.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md.org.uk" TargetMode="External"/><Relationship Id="rId4" Type="http://schemas.openxmlformats.org/officeDocument/2006/relationships/webSettings" Target="webSettings.xml"/><Relationship Id="rId9" Type="http://schemas.openxmlformats.org/officeDocument/2006/relationships/hyperlink" Target="https://srebrenica.org.uk" TargetMode="External"/><Relationship Id="rId14" Type="http://schemas.openxmlformats.org/officeDocument/2006/relationships/hyperlink" Target="https://www.standupeduc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1265</Words>
  <Characters>6515</Characters>
  <Application>Microsoft Office Word</Application>
  <DocSecurity>0</DocSecurity>
  <Lines>144</Lines>
  <Paragraphs>116</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Jackson</dc:creator>
  <cp:keywords/>
  <dc:description/>
  <cp:lastModifiedBy>Hannah Jackson</cp:lastModifiedBy>
  <cp:revision>1</cp:revision>
  <dcterms:created xsi:type="dcterms:W3CDTF">2026-05-14T08:58:00Z</dcterms:created>
  <dcterms:modified xsi:type="dcterms:W3CDTF">2026-05-14T09:23:00Z</dcterms:modified>
</cp:coreProperties>
</file>